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1"/>
        <w:gridCol w:w="5055"/>
      </w:tblGrid>
      <w:tr w:rsidR="00F305BB" w:rsidRPr="009652CC" w:rsidTr="00F06F42">
        <w:trPr>
          <w:trHeight w:val="116"/>
        </w:trPr>
        <w:tc>
          <w:tcPr>
            <w:tcW w:w="4394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957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F06F42">
        <w:trPr>
          <w:trHeight w:val="232"/>
        </w:trPr>
        <w:tc>
          <w:tcPr>
            <w:tcW w:w="4394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957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F06F42">
        <w:trPr>
          <w:trHeight w:val="116"/>
        </w:trPr>
        <w:tc>
          <w:tcPr>
            <w:tcW w:w="4394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957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F06F42">
        <w:trPr>
          <w:trHeight w:val="232"/>
        </w:trPr>
        <w:tc>
          <w:tcPr>
            <w:tcW w:w="4394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957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F06F42">
        <w:trPr>
          <w:trHeight w:val="116"/>
        </w:trPr>
        <w:tc>
          <w:tcPr>
            <w:tcW w:w="4394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957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F06F42">
        <w:trPr>
          <w:trHeight w:val="232"/>
        </w:trPr>
        <w:tc>
          <w:tcPr>
            <w:tcW w:w="4394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957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F06F42">
        <w:trPr>
          <w:trHeight w:val="232"/>
        </w:trPr>
        <w:tc>
          <w:tcPr>
            <w:tcW w:w="4394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957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F06F42">
        <w:trPr>
          <w:trHeight w:val="232"/>
        </w:trPr>
        <w:tc>
          <w:tcPr>
            <w:tcW w:w="4394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957" w:type="dxa"/>
            <w:vAlign w:val="center"/>
          </w:tcPr>
          <w:p w:rsidR="00F305BB" w:rsidRPr="009652CC" w:rsidRDefault="00076710" w:rsidP="00015F4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15F4E">
              <w:rPr>
                <w:rFonts w:ascii="Times New Roman" w:hAnsi="Times New Roman"/>
              </w:rPr>
              <w:t>1</w:t>
            </w:r>
            <w:r w:rsidR="00AB43F9">
              <w:rPr>
                <w:rFonts w:ascii="Times New Roman" w:hAnsi="Times New Roman"/>
              </w:rPr>
              <w:t>.0</w:t>
            </w:r>
            <w:r w:rsidR="00015F4E">
              <w:rPr>
                <w:rFonts w:ascii="Times New Roman" w:hAnsi="Times New Roman"/>
              </w:rPr>
              <w:t>6</w:t>
            </w:r>
            <w:r w:rsidR="00AB43F9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F06F42">
        <w:trPr>
          <w:trHeight w:val="315"/>
        </w:trPr>
        <w:tc>
          <w:tcPr>
            <w:tcW w:w="4394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957" w:type="dxa"/>
            <w:vAlign w:val="center"/>
          </w:tcPr>
          <w:p w:rsidR="008604F2" w:rsidRPr="006607B7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607B7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6607B7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607B7">
              <w:rPr>
                <w:rFonts w:ascii="Times New Roman" w:hAnsi="Times New Roman"/>
              </w:rPr>
              <w:t xml:space="preserve">Műszaki Szakközépiskola Galanta Esterházyovcov </w:t>
            </w:r>
            <w:r w:rsidR="006607B7" w:rsidRPr="006607B7">
              <w:rPr>
                <w:rFonts w:ascii="Times New Roman" w:hAnsi="Times New Roman"/>
              </w:rPr>
              <w:br/>
            </w:r>
            <w:r w:rsidRPr="006607B7">
              <w:rPr>
                <w:rFonts w:ascii="Times New Roman" w:hAnsi="Times New Roman"/>
              </w:rPr>
              <w:t>712/10, 924 34 Galanta - miestnosť/učebňa:</w:t>
            </w:r>
            <w:r w:rsidR="009B1341" w:rsidRPr="006607B7">
              <w:rPr>
                <w:rFonts w:ascii="Times New Roman" w:hAnsi="Times New Roman"/>
              </w:rPr>
              <w:t xml:space="preserve"> </w:t>
            </w:r>
            <w:r w:rsidR="009B077E" w:rsidRPr="006607B7">
              <w:rPr>
                <w:rFonts w:ascii="Times New Roman" w:hAnsi="Times New Roman"/>
              </w:rPr>
              <w:t>CNC</w:t>
            </w:r>
          </w:p>
        </w:tc>
      </w:tr>
      <w:tr w:rsidR="00F305BB" w:rsidRPr="009652CC" w:rsidTr="00F06F42">
        <w:trPr>
          <w:trHeight w:val="116"/>
        </w:trPr>
        <w:tc>
          <w:tcPr>
            <w:tcW w:w="4394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957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F06F42">
        <w:trPr>
          <w:trHeight w:val="232"/>
        </w:trPr>
        <w:tc>
          <w:tcPr>
            <w:tcW w:w="4394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957" w:type="dxa"/>
            <w:vAlign w:val="center"/>
          </w:tcPr>
          <w:p w:rsidR="008604F2" w:rsidRPr="009652CC" w:rsidRDefault="00F54723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F305BB" w:rsidRPr="009652CC" w:rsidRDefault="00F54723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F06F42">
        <w:trPr>
          <w:trHeight w:val="2035"/>
        </w:trPr>
        <w:tc>
          <w:tcPr>
            <w:tcW w:w="9351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015F4E" w:rsidP="00015F4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Automatizačná pyramída</w:t>
            </w:r>
          </w:p>
          <w:p w:rsidR="00015F4E" w:rsidRDefault="00015F4E" w:rsidP="00015F4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Pozornosť sa v prvom rade zameriava na priemyselnú výrobu</w:t>
            </w:r>
          </w:p>
          <w:p w:rsidR="00015F4E" w:rsidRDefault="00015F4E" w:rsidP="00015F4E">
            <w:pPr>
              <w:pStyle w:val="Odsekzoznamu"/>
              <w:tabs>
                <w:tab w:val="left" w:pos="1114"/>
              </w:tabs>
              <w:spacing w:after="0" w:line="240" w:lineRule="auto"/>
              <w:ind w:left="24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180340</wp:posOffset>
                  </wp:positionV>
                  <wp:extent cx="4371975" cy="2494280"/>
                  <wp:effectExtent l="0" t="0" r="9525" b="1270"/>
                  <wp:wrapTopAndBottom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6.2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249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Mriekatabuky"/>
              <w:tblpPr w:leftFromText="141" w:rightFromText="141" w:vertAnchor="text" w:horzAnchor="margin" w:tblpY="-113"/>
              <w:tblOverlap w:val="never"/>
              <w:tblW w:w="9135" w:type="dxa"/>
              <w:tblLook w:val="04A0" w:firstRow="1" w:lastRow="0" w:firstColumn="1" w:lastColumn="0" w:noHBand="0" w:noVBand="1"/>
            </w:tblPr>
            <w:tblGrid>
              <w:gridCol w:w="2896"/>
              <w:gridCol w:w="3192"/>
              <w:gridCol w:w="3047"/>
            </w:tblGrid>
            <w:tr w:rsidR="00F06F42" w:rsidTr="00F06F42">
              <w:trPr>
                <w:trHeight w:val="567"/>
              </w:trPr>
              <w:tc>
                <w:tcPr>
                  <w:tcW w:w="2896" w:type="dxa"/>
                  <w:shd w:val="clear" w:color="auto" w:fill="D9D9D9" w:themeFill="background1" w:themeFillShade="D9"/>
                  <w:vAlign w:val="center"/>
                </w:tcPr>
                <w:p w:rsidR="00015F4E" w:rsidRPr="00F06F42" w:rsidRDefault="00015F4E" w:rsidP="00015F4E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6F42">
                    <w:rPr>
                      <w:rFonts w:ascii="Times New Roman" w:hAnsi="Times New Roman"/>
                      <w:sz w:val="21"/>
                      <w:szCs w:val="21"/>
                    </w:rPr>
                    <w:t>Úroveň</w:t>
                  </w:r>
                </w:p>
              </w:tc>
              <w:tc>
                <w:tcPr>
                  <w:tcW w:w="3192" w:type="dxa"/>
                  <w:shd w:val="clear" w:color="auto" w:fill="D9D9D9" w:themeFill="background1" w:themeFillShade="D9"/>
                  <w:vAlign w:val="center"/>
                </w:tcPr>
                <w:p w:rsidR="00015F4E" w:rsidRPr="00F06F42" w:rsidRDefault="00015F4E" w:rsidP="00015F4E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6F42">
                    <w:rPr>
                      <w:rFonts w:ascii="Times New Roman" w:hAnsi="Times New Roman"/>
                      <w:sz w:val="21"/>
                      <w:szCs w:val="21"/>
                    </w:rPr>
                    <w:t>Úlohy</w:t>
                  </w:r>
                </w:p>
              </w:tc>
              <w:tc>
                <w:tcPr>
                  <w:tcW w:w="3047" w:type="dxa"/>
                  <w:shd w:val="clear" w:color="auto" w:fill="D9D9D9" w:themeFill="background1" w:themeFillShade="D9"/>
                  <w:vAlign w:val="center"/>
                </w:tcPr>
                <w:p w:rsidR="00015F4E" w:rsidRPr="00F06F42" w:rsidRDefault="00015F4E" w:rsidP="00015F4E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6F42">
                    <w:rPr>
                      <w:rFonts w:ascii="Times New Roman" w:hAnsi="Times New Roman"/>
                      <w:sz w:val="21"/>
                      <w:szCs w:val="21"/>
                    </w:rPr>
                    <w:t>Často používané technické systémy</w:t>
                  </w:r>
                </w:p>
              </w:tc>
            </w:tr>
            <w:tr w:rsidR="00F06F42" w:rsidTr="00F06F42">
              <w:trPr>
                <w:trHeight w:val="250"/>
              </w:trPr>
              <w:tc>
                <w:tcPr>
                  <w:tcW w:w="2896" w:type="dxa"/>
                  <w:vAlign w:val="center"/>
                </w:tcPr>
                <w:p w:rsidR="00015F4E" w:rsidRPr="00F06F42" w:rsidRDefault="00015F4E" w:rsidP="00015F4E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6F42">
                    <w:rPr>
                      <w:rFonts w:ascii="Times New Roman" w:hAnsi="Times New Roman"/>
                      <w:sz w:val="21"/>
                      <w:szCs w:val="21"/>
                    </w:rPr>
                    <w:t>Úroveň firmy</w:t>
                  </w:r>
                </w:p>
              </w:tc>
              <w:tc>
                <w:tcPr>
                  <w:tcW w:w="3192" w:type="dxa"/>
                  <w:vAlign w:val="center"/>
                </w:tcPr>
                <w:p w:rsidR="00015F4E" w:rsidRPr="00F06F42" w:rsidRDefault="00A9001C" w:rsidP="00015F4E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6F42">
                    <w:rPr>
                      <w:rFonts w:ascii="Times New Roman" w:hAnsi="Times New Roman"/>
                      <w:sz w:val="21"/>
                      <w:szCs w:val="21"/>
                    </w:rPr>
                    <w:t>Hrubé plánovanie výroby, plánovanie odbytu, strategické odbytové procesy, objednávkové procesy, riadenie biznisu, zabezpečenie zdrojov</w:t>
                  </w:r>
                </w:p>
              </w:tc>
              <w:tc>
                <w:tcPr>
                  <w:tcW w:w="3047" w:type="dxa"/>
                  <w:vAlign w:val="center"/>
                </w:tcPr>
                <w:p w:rsidR="00015F4E" w:rsidRPr="00F06F42" w:rsidRDefault="00A9001C" w:rsidP="00015F4E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6F42">
                    <w:rPr>
                      <w:rFonts w:ascii="Times New Roman" w:hAnsi="Times New Roman"/>
                      <w:sz w:val="21"/>
                      <w:szCs w:val="21"/>
                    </w:rPr>
                    <w:t>Plánovanie podnikových zdrojov (ERP)</w:t>
                  </w:r>
                </w:p>
              </w:tc>
            </w:tr>
          </w:tbl>
          <w:tbl>
            <w:tblPr>
              <w:tblStyle w:val="Mriekatabuky"/>
              <w:tblW w:w="9140" w:type="dxa"/>
              <w:tblLook w:val="04A0" w:firstRow="1" w:lastRow="0" w:firstColumn="1" w:lastColumn="0" w:noHBand="0" w:noVBand="1"/>
            </w:tblPr>
            <w:tblGrid>
              <w:gridCol w:w="3016"/>
              <w:gridCol w:w="3105"/>
              <w:gridCol w:w="3019"/>
            </w:tblGrid>
            <w:tr w:rsidR="00F06F42" w:rsidTr="006607B7">
              <w:trPr>
                <w:trHeight w:val="280"/>
              </w:trPr>
              <w:tc>
                <w:tcPr>
                  <w:tcW w:w="3016" w:type="dxa"/>
                  <w:vAlign w:val="center"/>
                </w:tcPr>
                <w:p w:rsidR="00F06F42" w:rsidRPr="00F06F42" w:rsidRDefault="00F06F42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F06F42">
                    <w:rPr>
                      <w:rFonts w:ascii="Times New Roman" w:hAnsi="Times New Roman"/>
                      <w:sz w:val="21"/>
                      <w:szCs w:val="21"/>
                    </w:rPr>
                    <w:lastRenderedPageBreak/>
                    <w:t>Úroveň operačného manažmentu</w:t>
                  </w:r>
                </w:p>
              </w:tc>
              <w:tc>
                <w:tcPr>
                  <w:tcW w:w="3105" w:type="dxa"/>
                  <w:vAlign w:val="center"/>
                </w:tcPr>
                <w:p w:rsidR="00F06F42" w:rsidRPr="00F06F42" w:rsidRDefault="00F06F42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Podrobné plánovanie výroby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 xml:space="preserve">a manažment, rozvrh, určenie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>KPI súvisiacich s výrobou, riadenie kvality,</w:t>
                  </w:r>
                  <w:r w:rsidRPr="006607B7">
                    <w:rPr>
                      <w:rFonts w:ascii="Times New Roman" w:hAnsi="Times New Roman"/>
                      <w:sz w:val="21"/>
                      <w:szCs w:val="21"/>
                    </w:rPr>
                    <w:t xml:space="preserve"> zaznamenávanie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výrobných dát</w:t>
                  </w:r>
                </w:p>
              </w:tc>
              <w:tc>
                <w:tcPr>
                  <w:tcW w:w="3019" w:type="dxa"/>
                  <w:vAlign w:val="center"/>
                </w:tcPr>
                <w:p w:rsidR="00F06F42" w:rsidRPr="00F06F42" w:rsidRDefault="00F06F42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Výrobný informačný systém MES, manažérsky informačný </w:t>
                  </w:r>
                  <w:r w:rsidR="006607B7">
                    <w:rPr>
                      <w:rFonts w:ascii="Times New Roman" w:hAnsi="Times New Roman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systém MIS, pracovný </w:t>
                  </w:r>
                  <w:r w:rsidR="006607B7">
                    <w:rPr>
                      <w:rFonts w:ascii="Times New Roman" w:hAnsi="Times New Roman"/>
                      <w:sz w:val="21"/>
                      <w:szCs w:val="21"/>
                    </w:rPr>
                    <w:br/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informačný a manažérsky </w:t>
                  </w:r>
                  <w:r w:rsidRPr="00F06F42">
                    <w:rPr>
                      <w:rFonts w:ascii="Times New Roman" w:hAnsi="Times New Roman"/>
                      <w:sz w:val="21"/>
                      <w:szCs w:val="21"/>
                    </w:rPr>
                    <w:t>systém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LIMS</w:t>
                  </w:r>
                </w:p>
              </w:tc>
            </w:tr>
            <w:tr w:rsidR="00F06F42" w:rsidTr="006607B7">
              <w:trPr>
                <w:trHeight w:val="262"/>
              </w:trPr>
              <w:tc>
                <w:tcPr>
                  <w:tcW w:w="3016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Úroveň riadenia procesov</w:t>
                  </w:r>
                </w:p>
              </w:tc>
              <w:tc>
                <w:tcPr>
                  <w:tcW w:w="3105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Prevádzka, sledovanie,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>vizualizácia, spracovanie,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>predpisov, archivácia meraní</w:t>
                  </w:r>
                </w:p>
              </w:tc>
              <w:tc>
                <w:tcPr>
                  <w:tcW w:w="3019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Systém riadenia procesov,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>rozhranie človek-stroj (HMI),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 xml:space="preserve">riadenie a získavanie dát </w:t>
                  </w:r>
                  <w:r w:rsidRPr="006607B7">
                    <w:rPr>
                      <w:rFonts w:ascii="Times New Roman" w:hAnsi="Times New Roman"/>
                      <w:sz w:val="20"/>
                      <w:szCs w:val="20"/>
                    </w:rPr>
                    <w:t>SCADA</w:t>
                  </w:r>
                </w:p>
              </w:tc>
            </w:tr>
            <w:tr w:rsidR="00F06F42" w:rsidTr="006607B7">
              <w:trPr>
                <w:trHeight w:val="280"/>
              </w:trPr>
              <w:tc>
                <w:tcPr>
                  <w:tcW w:w="3016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Riadiaca úroveň</w:t>
                  </w:r>
                </w:p>
              </w:tc>
              <w:tc>
                <w:tcPr>
                  <w:tcW w:w="3105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Riadenie technického výrobného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>a dopravného procesu, prepojenie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 xml:space="preserve">vstupných dát s tvorbou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>výstupných dát</w:t>
                  </w:r>
                </w:p>
              </w:tc>
              <w:tc>
                <w:tcPr>
                  <w:tcW w:w="3019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PLC, zbernica</w:t>
                  </w:r>
                </w:p>
              </w:tc>
            </w:tr>
            <w:tr w:rsidR="00F06F42" w:rsidTr="006607B7">
              <w:trPr>
                <w:trHeight w:val="262"/>
              </w:trPr>
              <w:tc>
                <w:tcPr>
                  <w:tcW w:w="3016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Terén</w:t>
                  </w:r>
                </w:p>
              </w:tc>
              <w:tc>
                <w:tcPr>
                  <w:tcW w:w="3105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Tvorba vstupných signálov, 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>premena výstupných signálov na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br/>
                    <w:t>konkrétne technické odpovede</w:t>
                  </w:r>
                </w:p>
              </w:tc>
              <w:tc>
                <w:tcPr>
                  <w:tcW w:w="3019" w:type="dxa"/>
                  <w:vAlign w:val="center"/>
                </w:tcPr>
                <w:p w:rsidR="00F06F42" w:rsidRPr="00F06F42" w:rsidRDefault="006607B7" w:rsidP="00F06F42">
                  <w:pPr>
                    <w:pStyle w:val="Odsekzoznamu"/>
                    <w:tabs>
                      <w:tab w:val="left" w:pos="1114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Snímače, aktuátory, I/O link</w:t>
                  </w:r>
                </w:p>
              </w:tc>
            </w:tr>
          </w:tbl>
          <w:p w:rsidR="00015F4E" w:rsidRDefault="00015F4E" w:rsidP="00015F4E">
            <w:pPr>
              <w:pStyle w:val="Odsekzoznamu"/>
              <w:tabs>
                <w:tab w:val="left" w:pos="1114"/>
              </w:tabs>
              <w:spacing w:after="0" w:line="240" w:lineRule="auto"/>
              <w:ind w:left="2484"/>
              <w:rPr>
                <w:rFonts w:ascii="Times New Roman" w:hAnsi="Times New Roman"/>
              </w:rPr>
            </w:pPr>
          </w:p>
          <w:p w:rsidR="00015F4E" w:rsidRPr="00015F4E" w:rsidRDefault="00015F4E" w:rsidP="00015F4E">
            <w:pPr>
              <w:pStyle w:val="Odsekzoznamu"/>
              <w:tabs>
                <w:tab w:val="left" w:pos="1114"/>
              </w:tabs>
              <w:spacing w:after="0" w:line="240" w:lineRule="auto"/>
              <w:ind w:left="2484"/>
              <w:rPr>
                <w:rFonts w:ascii="Times New Roman" w:hAnsi="Times New Roman"/>
              </w:rPr>
            </w:pPr>
          </w:p>
          <w:p w:rsidR="00F305BB" w:rsidRPr="009652CC" w:rsidRDefault="00CF11F0" w:rsidP="006607B7">
            <w:pPr>
              <w:tabs>
                <w:tab w:val="left" w:pos="456"/>
              </w:tabs>
              <w:spacing w:after="0" w:line="240" w:lineRule="auto"/>
              <w:ind w:left="314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Cieľom krúžku je oboznámiť žiakov s rôznymi možnosťami výroby súčiastok, podporiť v nich kreatívne myslenie a poukázať na neustálu potrebu zdokonaľovania sa v informačných </w:t>
            </w:r>
            <w:r w:rsidR="006607B7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technológiách.</w:t>
            </w:r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lastRenderedPageBreak/>
        <w:tab/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9"/>
        <w:gridCol w:w="5121"/>
      </w:tblGrid>
      <w:tr w:rsidR="00F305BB" w:rsidRPr="009652CC" w:rsidTr="00F06F42">
        <w:trPr>
          <w:trHeight w:val="60"/>
        </w:trPr>
        <w:tc>
          <w:tcPr>
            <w:tcW w:w="423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21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F06F42">
        <w:trPr>
          <w:trHeight w:val="262"/>
        </w:trPr>
        <w:tc>
          <w:tcPr>
            <w:tcW w:w="423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121" w:type="dxa"/>
          </w:tcPr>
          <w:p w:rsidR="00F305BB" w:rsidRPr="009652CC" w:rsidRDefault="00076710" w:rsidP="006607B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07B7">
              <w:rPr>
                <w:rFonts w:ascii="Times New Roman" w:hAnsi="Times New Roman"/>
              </w:rPr>
              <w:t>1</w:t>
            </w:r>
            <w:r w:rsidR="006E68E1">
              <w:rPr>
                <w:rFonts w:ascii="Times New Roman" w:hAnsi="Times New Roman"/>
              </w:rPr>
              <w:t>.0</w:t>
            </w:r>
            <w:r w:rsidR="006607B7">
              <w:rPr>
                <w:rFonts w:ascii="Times New Roman" w:hAnsi="Times New Roman"/>
              </w:rPr>
              <w:t>6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F06F42">
        <w:trPr>
          <w:trHeight w:val="262"/>
        </w:trPr>
        <w:tc>
          <w:tcPr>
            <w:tcW w:w="423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121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F06F42">
        <w:trPr>
          <w:trHeight w:val="262"/>
        </w:trPr>
        <w:tc>
          <w:tcPr>
            <w:tcW w:w="423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21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F06F42">
        <w:trPr>
          <w:trHeight w:val="262"/>
        </w:trPr>
        <w:tc>
          <w:tcPr>
            <w:tcW w:w="423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121" w:type="dxa"/>
          </w:tcPr>
          <w:p w:rsidR="00F305BB" w:rsidRPr="009652CC" w:rsidRDefault="006607B7" w:rsidP="006607B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DD3E7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076710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F06F42">
        <w:trPr>
          <w:trHeight w:val="250"/>
        </w:trPr>
        <w:tc>
          <w:tcPr>
            <w:tcW w:w="423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121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F06F42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23" w:rsidRDefault="00F54723" w:rsidP="00CF35D8">
      <w:pPr>
        <w:spacing w:after="0" w:line="240" w:lineRule="auto"/>
      </w:pPr>
      <w:r>
        <w:separator/>
      </w:r>
    </w:p>
  </w:endnote>
  <w:endnote w:type="continuationSeparator" w:id="0">
    <w:p w:rsidR="00F54723" w:rsidRDefault="00F547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23" w:rsidRDefault="00F54723" w:rsidP="00CF35D8">
      <w:pPr>
        <w:spacing w:after="0" w:line="240" w:lineRule="auto"/>
      </w:pPr>
      <w:r>
        <w:separator/>
      </w:r>
    </w:p>
  </w:footnote>
  <w:footnote w:type="continuationSeparator" w:id="0">
    <w:p w:rsidR="00F54723" w:rsidRDefault="00F547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B2A88124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E77A2D"/>
    <w:multiLevelType w:val="hybridMultilevel"/>
    <w:tmpl w:val="B0DED776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3D25A0"/>
    <w:multiLevelType w:val="hybridMultilevel"/>
    <w:tmpl w:val="CF720690"/>
    <w:lvl w:ilvl="0" w:tplc="1AFA2960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15F4E"/>
    <w:rsid w:val="00053B89"/>
    <w:rsid w:val="00065D98"/>
    <w:rsid w:val="0007256E"/>
    <w:rsid w:val="00076710"/>
    <w:rsid w:val="000E02D9"/>
    <w:rsid w:val="000E6FBF"/>
    <w:rsid w:val="000F127B"/>
    <w:rsid w:val="001213D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2CF2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607B7"/>
    <w:rsid w:val="006930DA"/>
    <w:rsid w:val="006A3977"/>
    <w:rsid w:val="006B17D8"/>
    <w:rsid w:val="006B6CBE"/>
    <w:rsid w:val="006D0A3E"/>
    <w:rsid w:val="006E68E1"/>
    <w:rsid w:val="006E77C5"/>
    <w:rsid w:val="00751BD0"/>
    <w:rsid w:val="00760079"/>
    <w:rsid w:val="00763367"/>
    <w:rsid w:val="007A5170"/>
    <w:rsid w:val="007A6CFA"/>
    <w:rsid w:val="007B6C7D"/>
    <w:rsid w:val="007D5F53"/>
    <w:rsid w:val="007E4C52"/>
    <w:rsid w:val="008058B8"/>
    <w:rsid w:val="008604F2"/>
    <w:rsid w:val="00863207"/>
    <w:rsid w:val="008721DB"/>
    <w:rsid w:val="008756A2"/>
    <w:rsid w:val="008A3F97"/>
    <w:rsid w:val="008B263D"/>
    <w:rsid w:val="008C3B1D"/>
    <w:rsid w:val="008C3C41"/>
    <w:rsid w:val="008C439B"/>
    <w:rsid w:val="008C6FCE"/>
    <w:rsid w:val="008E3CE2"/>
    <w:rsid w:val="00925C41"/>
    <w:rsid w:val="00941355"/>
    <w:rsid w:val="009652CC"/>
    <w:rsid w:val="009B077E"/>
    <w:rsid w:val="009B1341"/>
    <w:rsid w:val="009B1408"/>
    <w:rsid w:val="009C3018"/>
    <w:rsid w:val="009F4F76"/>
    <w:rsid w:val="00A71E3A"/>
    <w:rsid w:val="00A9001C"/>
    <w:rsid w:val="00A9043F"/>
    <w:rsid w:val="00AB111C"/>
    <w:rsid w:val="00AB43F9"/>
    <w:rsid w:val="00AF5989"/>
    <w:rsid w:val="00B440DB"/>
    <w:rsid w:val="00B71530"/>
    <w:rsid w:val="00B93482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912E5"/>
    <w:rsid w:val="00CA0B4D"/>
    <w:rsid w:val="00CA771E"/>
    <w:rsid w:val="00CD7D64"/>
    <w:rsid w:val="00CF11F0"/>
    <w:rsid w:val="00CF35D8"/>
    <w:rsid w:val="00D0796E"/>
    <w:rsid w:val="00D358C2"/>
    <w:rsid w:val="00D373A0"/>
    <w:rsid w:val="00D5619C"/>
    <w:rsid w:val="00DA6ABC"/>
    <w:rsid w:val="00DD1AA4"/>
    <w:rsid w:val="00DD3E7C"/>
    <w:rsid w:val="00E36C97"/>
    <w:rsid w:val="00E926D8"/>
    <w:rsid w:val="00E94A5E"/>
    <w:rsid w:val="00EC5730"/>
    <w:rsid w:val="00ED3A9D"/>
    <w:rsid w:val="00F06F42"/>
    <w:rsid w:val="00F079BB"/>
    <w:rsid w:val="00F15FD6"/>
    <w:rsid w:val="00F305BB"/>
    <w:rsid w:val="00F36E61"/>
    <w:rsid w:val="00F54723"/>
    <w:rsid w:val="00F61779"/>
    <w:rsid w:val="00FD3420"/>
    <w:rsid w:val="00FD4180"/>
    <w:rsid w:val="00FD4F9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E5D23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21</cp:revision>
  <cp:lastPrinted>2017-07-21T06:21:00Z</cp:lastPrinted>
  <dcterms:created xsi:type="dcterms:W3CDTF">2021-10-08T05:20:00Z</dcterms:created>
  <dcterms:modified xsi:type="dcterms:W3CDTF">2022-07-15T06:46:00Z</dcterms:modified>
</cp:coreProperties>
</file>